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F7882" w14:textId="2CAD0CB1" w:rsidR="00B8181B" w:rsidRPr="00B8181B" w:rsidRDefault="00B8181B" w:rsidP="00B8181B">
      <w:pPr>
        <w:tabs>
          <w:tab w:val="right" w:pos="9639"/>
        </w:tabs>
        <w:spacing w:after="0" w:line="240" w:lineRule="auto"/>
        <w:rPr>
          <w:rFonts w:eastAsia="Times New Roman" w:cs="Times New Roman"/>
          <w:b/>
          <w:i/>
          <w:noProof/>
          <w:sz w:val="28"/>
          <w:szCs w:val="20"/>
          <w:lang w:val="en-GB" w:eastAsia="en-US"/>
        </w:rPr>
      </w:pPr>
      <w:r w:rsidRPr="00B8181B">
        <w:rPr>
          <w:b/>
          <w:sz w:val="24"/>
          <w:szCs w:val="24"/>
          <w:lang w:val="en-GB" w:eastAsia="x-none"/>
        </w:rPr>
        <w:t>3GPP TSG-RAN4 Meeting #92</w:t>
      </w:r>
      <w:r w:rsidRPr="00B8181B">
        <w:rPr>
          <w:rFonts w:eastAsia="Times New Roman" w:cs="Times New Roman"/>
          <w:b/>
          <w:i/>
          <w:noProof/>
          <w:sz w:val="28"/>
          <w:szCs w:val="20"/>
          <w:lang w:val="en-GB" w:eastAsia="en-US"/>
        </w:rPr>
        <w:tab/>
      </w:r>
      <w:r w:rsidRPr="00B8181B">
        <w:rPr>
          <w:b/>
          <w:i/>
          <w:sz w:val="28"/>
          <w:szCs w:val="24"/>
          <w:lang w:val="en-GB" w:eastAsia="x-none"/>
        </w:rPr>
        <w:t>R4-190</w:t>
      </w:r>
      <w:r>
        <w:rPr>
          <w:b/>
          <w:i/>
          <w:sz w:val="28"/>
          <w:szCs w:val="24"/>
          <w:lang w:val="en-GB" w:eastAsia="x-none"/>
        </w:rPr>
        <w:t>8064</w:t>
      </w:r>
    </w:p>
    <w:p w14:paraId="28AB2784" w14:textId="77777777" w:rsidR="00B8181B" w:rsidRPr="00B8181B" w:rsidRDefault="00B8181B" w:rsidP="00B8181B">
      <w:pPr>
        <w:pStyle w:val="Header"/>
        <w:tabs>
          <w:tab w:val="right" w:pos="10440"/>
          <w:tab w:val="right" w:pos="13323"/>
        </w:tabs>
        <w:rPr>
          <w:rFonts w:ascii="Arial" w:hAnsi="Arial" w:cs="Arial"/>
          <w:b/>
          <w:sz w:val="24"/>
          <w:szCs w:val="24"/>
        </w:rPr>
      </w:pPr>
      <w:r w:rsidRPr="00B8181B">
        <w:rPr>
          <w:rFonts w:ascii="Arial" w:hAnsi="Arial" w:cs="Arial"/>
          <w:b/>
          <w:sz w:val="24"/>
          <w:szCs w:val="24"/>
        </w:rPr>
        <w:t>Ljubljana, Slovenia, 26th Aug 2019 - 30th Aug 2019</w:t>
      </w:r>
    </w:p>
    <w:p w14:paraId="6B5CE7EB" w14:textId="77777777" w:rsidR="00562D8A" w:rsidRDefault="00562D8A" w:rsidP="006A3B2B">
      <w:pPr>
        <w:tabs>
          <w:tab w:val="left" w:pos="1985"/>
        </w:tabs>
        <w:rPr>
          <w:b/>
          <w:sz w:val="24"/>
          <w:szCs w:val="24"/>
        </w:rPr>
      </w:pPr>
      <w:bookmarkStart w:id="0" w:name="_GoBack"/>
      <w:bookmarkEnd w:id="0"/>
    </w:p>
    <w:p w14:paraId="4F6449F1" w14:textId="232E9D75" w:rsidR="002A6CE7" w:rsidRPr="00B915EB" w:rsidRDefault="002A6CE7" w:rsidP="00562D8A">
      <w:pPr>
        <w:tabs>
          <w:tab w:val="left" w:pos="1985"/>
        </w:tabs>
        <w:rPr>
          <w:b/>
          <w:sz w:val="24"/>
          <w:szCs w:val="24"/>
        </w:rPr>
      </w:pPr>
      <w:r w:rsidRPr="00B915EB">
        <w:rPr>
          <w:b/>
          <w:sz w:val="24"/>
          <w:szCs w:val="24"/>
        </w:rPr>
        <w:t>Agenda Item:</w:t>
      </w:r>
      <w:r w:rsidRPr="00B915EB">
        <w:rPr>
          <w:b/>
          <w:sz w:val="24"/>
          <w:szCs w:val="24"/>
        </w:rPr>
        <w:tab/>
      </w:r>
      <w:bookmarkStart w:id="1" w:name="Source"/>
      <w:bookmarkEnd w:id="1"/>
      <w:r w:rsidRPr="00B915EB">
        <w:rPr>
          <w:b/>
          <w:sz w:val="24"/>
          <w:szCs w:val="24"/>
        </w:rPr>
        <w:tab/>
      </w:r>
      <w:r w:rsidRPr="00B915EB">
        <w:rPr>
          <w:sz w:val="24"/>
          <w:szCs w:val="24"/>
        </w:rPr>
        <w:t>1</w:t>
      </w:r>
      <w:r w:rsidR="006A3B2B">
        <w:rPr>
          <w:sz w:val="24"/>
          <w:szCs w:val="24"/>
        </w:rPr>
        <w:t>1.2.3.2</w:t>
      </w:r>
    </w:p>
    <w:p w14:paraId="55757FB0" w14:textId="239BD6C6" w:rsidR="002A6CE7" w:rsidRPr="00B915EB" w:rsidRDefault="002A6CE7" w:rsidP="002A6CE7">
      <w:pPr>
        <w:tabs>
          <w:tab w:val="left" w:pos="1985"/>
        </w:tabs>
        <w:rPr>
          <w:sz w:val="24"/>
          <w:szCs w:val="24"/>
          <w:lang w:eastAsia="ja-JP"/>
        </w:rPr>
      </w:pPr>
      <w:r w:rsidRPr="00B915EB">
        <w:rPr>
          <w:b/>
          <w:sz w:val="24"/>
          <w:szCs w:val="24"/>
        </w:rPr>
        <w:t xml:space="preserve">Source: </w:t>
      </w:r>
      <w:r w:rsidRPr="00B915EB">
        <w:rPr>
          <w:b/>
          <w:sz w:val="24"/>
          <w:szCs w:val="24"/>
        </w:rPr>
        <w:tab/>
      </w:r>
      <w:r w:rsidRPr="00B915EB">
        <w:rPr>
          <w:b/>
          <w:sz w:val="24"/>
          <w:szCs w:val="24"/>
        </w:rPr>
        <w:tab/>
      </w:r>
      <w:r w:rsidRPr="00B915EB">
        <w:rPr>
          <w:sz w:val="24"/>
          <w:szCs w:val="24"/>
        </w:rPr>
        <w:t>Rohde &amp; Schwarz</w:t>
      </w:r>
    </w:p>
    <w:p w14:paraId="17B05450" w14:textId="16B3048F" w:rsidR="002A6CE7" w:rsidRPr="00B915EB" w:rsidRDefault="002A6CE7" w:rsidP="002A6CE7">
      <w:pPr>
        <w:tabs>
          <w:tab w:val="left" w:pos="1985"/>
        </w:tabs>
        <w:rPr>
          <w:sz w:val="24"/>
          <w:szCs w:val="24"/>
        </w:rPr>
      </w:pPr>
      <w:r w:rsidRPr="00B915EB">
        <w:rPr>
          <w:b/>
          <w:sz w:val="24"/>
          <w:szCs w:val="24"/>
        </w:rPr>
        <w:t>Title:</w:t>
      </w:r>
      <w:r w:rsidRPr="00B915EB">
        <w:rPr>
          <w:sz w:val="24"/>
          <w:szCs w:val="24"/>
        </w:rPr>
        <w:t xml:space="preserve"> </w:t>
      </w:r>
      <w:r w:rsidRPr="00B915EB">
        <w:rPr>
          <w:sz w:val="24"/>
          <w:szCs w:val="24"/>
        </w:rPr>
        <w:tab/>
      </w:r>
      <w:bookmarkStart w:id="2" w:name="Title"/>
      <w:bookmarkEnd w:id="2"/>
      <w:r w:rsidRPr="00B915EB">
        <w:rPr>
          <w:sz w:val="24"/>
          <w:szCs w:val="24"/>
        </w:rPr>
        <w:tab/>
      </w:r>
      <w:r w:rsidR="006A3B2B">
        <w:rPr>
          <w:sz w:val="24"/>
          <w:szCs w:val="24"/>
        </w:rPr>
        <w:t>Usage of UBF for FR2 NR MIMO OTA testing</w:t>
      </w:r>
    </w:p>
    <w:p w14:paraId="290B69E3" w14:textId="7A86658F" w:rsidR="002A6CE7" w:rsidRPr="00B915EB" w:rsidRDefault="002A6CE7" w:rsidP="002A6CE7">
      <w:pPr>
        <w:rPr>
          <w:b/>
        </w:rPr>
      </w:pPr>
      <w:r w:rsidRPr="00B915EB">
        <w:rPr>
          <w:b/>
          <w:sz w:val="24"/>
          <w:szCs w:val="24"/>
        </w:rPr>
        <w:t>Document for:</w:t>
      </w:r>
      <w:r w:rsidRPr="00B915EB">
        <w:rPr>
          <w:sz w:val="24"/>
          <w:szCs w:val="24"/>
        </w:rPr>
        <w:tab/>
      </w:r>
      <w:bookmarkStart w:id="3" w:name="DocumentFor"/>
      <w:bookmarkEnd w:id="3"/>
      <w:r w:rsidR="000E41DF" w:rsidRPr="00B915EB">
        <w:rPr>
          <w:sz w:val="24"/>
          <w:szCs w:val="24"/>
        </w:rPr>
        <w:t>Approval</w:t>
      </w:r>
    </w:p>
    <w:p w14:paraId="7CA60390" w14:textId="720F1C68" w:rsidR="00B81FC7" w:rsidRPr="00B915EB" w:rsidRDefault="007713AD" w:rsidP="00B81FC7">
      <w:pPr>
        <w:pStyle w:val="Heading1"/>
        <w:rPr>
          <w:rFonts w:cs="Arial"/>
          <w:sz w:val="24"/>
          <w:szCs w:val="24"/>
          <w:lang w:val="en-US"/>
        </w:rPr>
      </w:pPr>
      <w:r>
        <w:rPr>
          <w:rFonts w:cs="Arial"/>
          <w:sz w:val="24"/>
          <w:szCs w:val="24"/>
          <w:lang w:val="en-US"/>
        </w:rPr>
        <w:t>Background</w:t>
      </w:r>
    </w:p>
    <w:p w14:paraId="05ECD0E6" w14:textId="1D5A8444" w:rsidR="00FC7B2D" w:rsidRDefault="0045195C" w:rsidP="00FC3048">
      <w:pPr>
        <w:jc w:val="both"/>
        <w:rPr>
          <w:sz w:val="20"/>
          <w:szCs w:val="20"/>
          <w:lang w:eastAsia="en-US"/>
        </w:rPr>
      </w:pPr>
      <w:bookmarkStart w:id="4" w:name="OLE_LINK10"/>
      <w:bookmarkStart w:id="5" w:name="OLE_LINK11"/>
      <w:r>
        <w:rPr>
          <w:sz w:val="20"/>
          <w:szCs w:val="20"/>
          <w:lang w:eastAsia="en-US"/>
        </w:rPr>
        <w:t xml:space="preserve">Since the past few meetings, 3D MPAC has been considered as the starting point for the study of NR MIMO OTA methodologies for FR2. Even if the probe count and </w:t>
      </w:r>
      <w:r w:rsidR="005C01BD">
        <w:rPr>
          <w:sz w:val="20"/>
          <w:szCs w:val="20"/>
          <w:lang w:eastAsia="en-US"/>
        </w:rPr>
        <w:t xml:space="preserve">probe </w:t>
      </w:r>
      <w:r>
        <w:rPr>
          <w:sz w:val="20"/>
          <w:szCs w:val="20"/>
          <w:lang w:eastAsia="en-US"/>
        </w:rPr>
        <w:t>arrangement is still to be defined</w:t>
      </w:r>
      <w:r w:rsidR="005C01BD">
        <w:rPr>
          <w:sz w:val="20"/>
          <w:szCs w:val="20"/>
          <w:lang w:eastAsia="en-US"/>
        </w:rPr>
        <w:t xml:space="preserve"> as part of the Study Item</w:t>
      </w:r>
      <w:r>
        <w:rPr>
          <w:sz w:val="20"/>
          <w:szCs w:val="20"/>
          <w:lang w:eastAsia="en-US"/>
        </w:rPr>
        <w:t>, the high level system block diagram looks very similar to the Candidate Solution 1 already described in</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_Ref16676971 \r \h </w:instrText>
      </w:r>
      <w:r w:rsidR="007407A7">
        <w:rPr>
          <w:sz w:val="20"/>
          <w:szCs w:val="20"/>
          <w:lang w:eastAsia="en-US"/>
        </w:rPr>
      </w:r>
      <w:r w:rsidR="007407A7">
        <w:rPr>
          <w:sz w:val="20"/>
          <w:szCs w:val="20"/>
          <w:lang w:eastAsia="en-US"/>
        </w:rPr>
        <w:fldChar w:fldCharType="separate"/>
      </w:r>
      <w:r w:rsidR="007407A7">
        <w:rPr>
          <w:sz w:val="20"/>
          <w:szCs w:val="20"/>
          <w:lang w:eastAsia="en-US"/>
        </w:rPr>
        <w:t>[1]</w:t>
      </w:r>
      <w:r w:rsidR="007407A7">
        <w:rPr>
          <w:sz w:val="20"/>
          <w:szCs w:val="20"/>
          <w:lang w:eastAsia="en-US"/>
        </w:rPr>
        <w:fldChar w:fldCharType="end"/>
      </w:r>
      <w:r>
        <w:rPr>
          <w:sz w:val="20"/>
          <w:szCs w:val="20"/>
          <w:lang w:eastAsia="en-US"/>
        </w:rPr>
        <w:t>:</w:t>
      </w:r>
    </w:p>
    <w:p w14:paraId="2AB363AB" w14:textId="6142F7CB" w:rsidR="00FC7B2D" w:rsidRDefault="00EE740A" w:rsidP="00EE740A">
      <w:pPr>
        <w:rPr>
          <w:sz w:val="20"/>
          <w:szCs w:val="20"/>
          <w:lang w:eastAsia="en-US"/>
        </w:rPr>
      </w:pPr>
      <w:r w:rsidRPr="00EE740A">
        <w:rPr>
          <w:noProof/>
          <w:sz w:val="20"/>
          <w:szCs w:val="20"/>
          <w:lang w:eastAsia="en-US"/>
        </w:rPr>
        <w:lastRenderedPageBreak/>
        <mc:AlternateContent>
          <mc:Choice Requires="wps">
            <w:drawing>
              <wp:inline distT="0" distB="0" distL="0" distR="0" wp14:anchorId="06FAA599" wp14:editId="3C0D2C32">
                <wp:extent cx="5972175" cy="1404620"/>
                <wp:effectExtent l="0" t="0" r="2857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50368167" w14:textId="77777777" w:rsidR="00EE740A" w:rsidRPr="00EE740A" w:rsidRDefault="00EE740A" w:rsidP="00EE740A">
                            <w:pPr>
                              <w:keepNext/>
                              <w:keepLines/>
                              <w:overflowPunct w:val="0"/>
                              <w:autoSpaceDE w:val="0"/>
                              <w:autoSpaceDN w:val="0"/>
                              <w:adjustRightInd w:val="0"/>
                              <w:spacing w:before="120" w:after="180" w:line="240" w:lineRule="auto"/>
                              <w:textAlignment w:val="baseline"/>
                              <w:outlineLvl w:val="3"/>
                              <w:rPr>
                                <w:rFonts w:eastAsia="Times New Roman" w:cs="Times New Roman"/>
                                <w:sz w:val="20"/>
                                <w:szCs w:val="20"/>
                                <w:lang w:val="en-GB" w:eastAsia="ko-KR"/>
                              </w:rPr>
                            </w:pPr>
                            <w:bookmarkStart w:id="6" w:name="_Toc528251345"/>
                            <w:r w:rsidRPr="00EE740A">
                              <w:rPr>
                                <w:rFonts w:eastAsia="Times New Roman" w:cs="Times New Roman"/>
                                <w:sz w:val="20"/>
                                <w:szCs w:val="20"/>
                                <w:lang w:val="en-GB" w:eastAsia="ko-KR"/>
                              </w:rPr>
                              <w:t>6.3.1.1</w:t>
                            </w:r>
                            <w:r w:rsidRPr="00EE740A">
                              <w:rPr>
                                <w:rFonts w:eastAsia="Times New Roman" w:cs="Times New Roman"/>
                                <w:sz w:val="20"/>
                                <w:szCs w:val="20"/>
                                <w:lang w:val="en-GB" w:eastAsia="ko-KR"/>
                              </w:rPr>
                              <w:tab/>
                            </w:r>
                            <w:smartTag w:uri="urn:schemas-microsoft-com:office:smarttags" w:element="PersonName">
                              <w:r w:rsidRPr="00EE740A">
                                <w:rPr>
                                  <w:rFonts w:eastAsia="Times New Roman" w:cs="Times New Roman"/>
                                  <w:sz w:val="20"/>
                                  <w:szCs w:val="20"/>
                                  <w:lang w:val="en-GB" w:eastAsia="ko-KR"/>
                                </w:rPr>
                                <w:t>Can</w:t>
                              </w:r>
                            </w:smartTag>
                            <w:r w:rsidRPr="00EE740A">
                              <w:rPr>
                                <w:rFonts w:eastAsia="Times New Roman" w:cs="Times New Roman"/>
                                <w:sz w:val="20"/>
                                <w:szCs w:val="20"/>
                                <w:lang w:val="en-GB" w:eastAsia="ko-KR"/>
                              </w:rPr>
                              <w:t>didate Solution 1</w:t>
                            </w:r>
                            <w:bookmarkEnd w:id="6"/>
                          </w:p>
                          <w:p w14:paraId="560F395D"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OTA method based on the use of an Anechoic RF Chamber is described consisting of a number of test antennas located in the chamber transmitting signals with temporal and spatial characteristics for testing multiple antenna devices. The method consists of a number of test antennas located in different positions of the chamber, and the device under test (DUT) is located at the center position. The DUT is tested over the air without RF cables.</w:t>
                            </w:r>
                          </w:p>
                          <w:p w14:paraId="211882AC"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Anechoic chamber techniques creates a realistic geometric based spatio-temporal-polarimetric radio channel for testing MIMO performance using Geometric based stochastic channel models as defined in Clause 8.2.</w:t>
                            </w:r>
                          </w:p>
                          <w:p w14:paraId="4459CAD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components of the solution include:</w:t>
                            </w:r>
                          </w:p>
                          <w:p w14:paraId="43C66E98"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Anechoic Chamber</w:t>
                            </w:r>
                          </w:p>
                          <w:p w14:paraId="2E8D9FAD"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System Simulator (SS)</w:t>
                            </w:r>
                          </w:p>
                          <w:p w14:paraId="0A337D41"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channel RF emulator, with OTA Channel Generation Features</w:t>
                            </w:r>
                          </w:p>
                          <w:p w14:paraId="7458CC13"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linearly polarized antenna elements configured V, H or co-located V&amp;H or slant X polarizations</w:t>
                            </w:r>
                          </w:p>
                          <w:p w14:paraId="0D99EE37"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K azimuthally separated antenna positions with predefined angles at radius R</w:t>
                            </w:r>
                          </w:p>
                          <w:p w14:paraId="65546A74"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Channel model definition for each test case</w:t>
                            </w:r>
                          </w:p>
                          <w:p w14:paraId="7284C00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illustration of an anechoic chamber is shown in Figure 6.3.1.1-1 below.</w:t>
                            </w:r>
                          </w:p>
                          <w:p w14:paraId="69C6B45D" w14:textId="572E8D0B"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ascii="Times New Roman" w:eastAsia="Times New Roman" w:hAnsi="Times New Roman" w:cs="Times New Roman"/>
                                <w:b/>
                                <w:noProof/>
                                <w:sz w:val="16"/>
                                <w:szCs w:val="20"/>
                                <w:lang w:eastAsia="en-US"/>
                              </w:rPr>
                              <w:drawing>
                                <wp:inline distT="0" distB="0" distL="0" distR="0" wp14:anchorId="7BDF972B" wp14:editId="035E63FD">
                                  <wp:extent cx="26860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1943100"/>
                                          </a:xfrm>
                                          <a:prstGeom prst="rect">
                                            <a:avLst/>
                                          </a:prstGeom>
                                          <a:noFill/>
                                          <a:ln>
                                            <a:noFill/>
                                          </a:ln>
                                        </pic:spPr>
                                      </pic:pic>
                                    </a:graphicData>
                                  </a:graphic>
                                </wp:inline>
                              </w:drawing>
                            </w:r>
                          </w:p>
                          <w:p w14:paraId="07023113"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6.3.1.1-1: N-element Anechoic Chamber approach (Absorbing tiles and cabling not shown)</w:t>
                            </w:r>
                          </w:p>
                          <w:p w14:paraId="7A215ED8" w14:textId="75CDAECE"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eastAsia="Times New Roman" w:cs="Times New Roman"/>
                                <w:b/>
                                <w:noProof/>
                                <w:sz w:val="16"/>
                                <w:szCs w:val="20"/>
                                <w:lang w:eastAsia="en-US"/>
                              </w:rPr>
                              <w:drawing>
                                <wp:inline distT="0" distB="0" distL="0" distR="0" wp14:anchorId="4BB7409C" wp14:editId="112899B1">
                                  <wp:extent cx="4791075" cy="1695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t="10917" b="11354"/>
                                          <a:stretch/>
                                        </pic:blipFill>
                                        <pic:spPr bwMode="auto">
                                          <a:xfrm>
                                            <a:off x="0" y="0"/>
                                            <a:ext cx="4791075" cy="1695450"/>
                                          </a:xfrm>
                                          <a:prstGeom prst="rect">
                                            <a:avLst/>
                                          </a:prstGeom>
                                          <a:noFill/>
                                          <a:ln>
                                            <a:noFill/>
                                          </a:ln>
                                          <a:extLst>
                                            <a:ext uri="{53640926-AAD7-44D8-BBD7-CCE9431645EC}">
                                              <a14:shadowObscured xmlns:a14="http://schemas.microsoft.com/office/drawing/2010/main"/>
                                            </a:ext>
                                          </a:extLst>
                                        </pic:spPr>
                                      </pic:pic>
                                    </a:graphicData>
                                  </a:graphic>
                                </wp:inline>
                              </w:drawing>
                            </w:r>
                          </w:p>
                          <w:p w14:paraId="6D408678"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6.3.1.1-2: OTA system level block diagram</w:t>
                            </w:r>
                          </w:p>
                          <w:p w14:paraId="43AC4A59" w14:textId="5F738920" w:rsidR="00EE740A" w:rsidRPr="00EE740A" w:rsidRDefault="00EE740A" w:rsidP="00EE740A">
                            <w:pPr>
                              <w:rPr>
                                <w:sz w:val="18"/>
                              </w:rPr>
                            </w:pPr>
                            <w:r w:rsidRPr="00EE740A">
                              <w:rPr>
                                <w:rFonts w:ascii="Times New Roman" w:eastAsia="Times New Roman" w:hAnsi="Times New Roman" w:cs="Times New Roman"/>
                                <w:sz w:val="16"/>
                                <w:szCs w:val="20"/>
                                <w:lang w:val="en-GB" w:eastAsia="ko-KR"/>
                              </w:rPr>
                              <w:t>A system level block diagram is shown in Figure 6.3.1.1-2, which includes the SS to generate the M branch MIMO signal, and an RF Channel Emulator with an OTA Channel Generation Feature to properly correlate, fade, scale, delay, and distribute the signal to each test probe in the chamber.</w:t>
                            </w:r>
                          </w:p>
                        </w:txbxContent>
                      </wps:txbx>
                      <wps:bodyPr rot="0" vert="horz" wrap="square" lIns="72000" tIns="36000" rIns="72000" bIns="36000" anchor="t" anchorCtr="0">
                        <a:spAutoFit/>
                      </wps:bodyPr>
                    </wps:wsp>
                  </a:graphicData>
                </a:graphic>
              </wp:inline>
            </w:drawing>
          </mc:Choice>
          <mc:Fallback>
            <w:pict>
              <v:shapetype w14:anchorId="06FAA599" id="_x0000_t202" coordsize="21600,21600" o:spt="202" path="m,l,21600r21600,l21600,xe">
                <v:stroke joinstyle="miter"/>
                <v:path gradientshapeok="t" o:connecttype="rect"/>
              </v:shapetype>
              <v:shape id="Text Box 2" o:spid="_x0000_s1026"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YIgIAAEcEAAAOAAAAZHJzL2Uyb0RvYy54bWysU9tu2zAMfR+wfxD0vtjJmrQ14hRdugwD&#10;ugvQ7gNoWY6FyaImKbGzry8lp1nQbS/D9CCIInV0eEgub4ZOs710XqEp+XSScyaNwFqZbcm/PW7e&#10;XHHmA5gaNBpZ8oP0/Gb1+tWyt4WcYYu6lo4RiPFFb0vehmCLLPOilR34CVppyNmg6yCQ6bZZ7aAn&#10;9E5nszxfZD262joU0nu6vRudfJXwm0aK8KVpvAxMl5y4hbS7tFdxz1ZLKLYObKvEkQb8A4sOlKFP&#10;T1B3EIDtnPoNqlPCoccmTAR2GTaNEjLlQNlM8xfZPLRgZcqFxPH2JJP/f7Di8/6rY6ou+Wx6yZmB&#10;jor0KIfA3uHAZlGf3vqCwh4sBYaBrqnOKVdv71F898zgugWzlbfOYd9KqInfNL7Mzp6OOD6CVP0n&#10;rOkb2AVMQEPjuigeycEInep0ONUmUhF0Ob++JIZzzgT5phf5xWKWqpdB8fzcOh8+SOxYPJTcUfET&#10;POzvfYh0oHgOib951KreKK2T4bbVWju2B2qUTVopgxdh2rC+5Nfz2XxU4K8QeVp/guhUoI7Xqiv5&#10;1SkIiqjbe1Onfgyg9HgmytochYzajSqGoRqOhamwPpCkDsfOpkmkQ4vuJ2c9dXXJ/Y8dOMmZ/mio&#10;LJc0M3EMkvF2kQx37qnOPWAEQZU8cDYe1yGNThLM3lL5NioJG+s8MjlypW5Neh8nK47DuZ2ifs3/&#10;6gkAAP//AwBQSwMEFAAGAAgAAAAhAIcJUCPbAAAABQEAAA8AAABkcnMvZG93bnJldi54bWxMj8FO&#10;wzAQRO9I/IO1SNyo04gWCHEqqIQ4cGqp1OvGXuKIeB3FbpP8PYYLvaw0mtHM23IzuU6caQitZwXL&#10;RQaCWHvTcqPg8Pl29wgiRGSDnWdSMFOATXV9VWJh/Mg7Ou9jI1IJhwIV2Bj7QsqgLTkMC98TJ+/L&#10;Dw5jkkMjzYBjKnedzLNsLR22nBYs9rS1pL/3J6fg+Gr1zvXj6kPP6wO/2/o4bx+Uur2ZXp5BRJri&#10;fxh+8RM6VImp9ic2QXQK0iPx7ybv6T5bgagV5PkyB1mV8pK++gEAAP//AwBQSwECLQAUAAYACAAA&#10;ACEAtoM4kv4AAADhAQAAEwAAAAAAAAAAAAAAAAAAAAAAW0NvbnRlbnRfVHlwZXNdLnhtbFBLAQIt&#10;ABQABgAIAAAAIQA4/SH/1gAAAJQBAAALAAAAAAAAAAAAAAAAAC8BAABfcmVscy8ucmVsc1BLAQIt&#10;ABQABgAIAAAAIQBexsXYIgIAAEcEAAAOAAAAAAAAAAAAAAAAAC4CAABkcnMvZTJvRG9jLnhtbFBL&#10;AQItABQABgAIAAAAIQCHCVAj2wAAAAUBAAAPAAAAAAAAAAAAAAAAAHwEAABkcnMvZG93bnJldi54&#10;bWxQSwUGAAAAAAQABADzAAAAhAUAAAAA&#10;">
                <v:textbox style="mso-fit-shape-to-text:t" inset="2mm,1mm,2mm,1mm">
                  <w:txbxContent>
                    <w:p w14:paraId="50368167" w14:textId="77777777" w:rsidR="00EE740A" w:rsidRPr="00EE740A" w:rsidRDefault="00EE740A" w:rsidP="00EE740A">
                      <w:pPr>
                        <w:keepNext/>
                        <w:keepLines/>
                        <w:overflowPunct w:val="0"/>
                        <w:autoSpaceDE w:val="0"/>
                        <w:autoSpaceDN w:val="0"/>
                        <w:adjustRightInd w:val="0"/>
                        <w:spacing w:before="120" w:after="180" w:line="240" w:lineRule="auto"/>
                        <w:textAlignment w:val="baseline"/>
                        <w:outlineLvl w:val="3"/>
                        <w:rPr>
                          <w:rFonts w:eastAsia="Times New Roman" w:cs="Times New Roman"/>
                          <w:sz w:val="20"/>
                          <w:szCs w:val="20"/>
                          <w:lang w:val="en-GB" w:eastAsia="ko-KR"/>
                        </w:rPr>
                      </w:pPr>
                      <w:bookmarkStart w:id="7" w:name="_Toc528251345"/>
                      <w:r w:rsidRPr="00EE740A">
                        <w:rPr>
                          <w:rFonts w:eastAsia="Times New Roman" w:cs="Times New Roman"/>
                          <w:sz w:val="20"/>
                          <w:szCs w:val="20"/>
                          <w:lang w:val="en-GB" w:eastAsia="ko-KR"/>
                        </w:rPr>
                        <w:t>6.3.1.1</w:t>
                      </w:r>
                      <w:r w:rsidRPr="00EE740A">
                        <w:rPr>
                          <w:rFonts w:eastAsia="Times New Roman" w:cs="Times New Roman"/>
                          <w:sz w:val="20"/>
                          <w:szCs w:val="20"/>
                          <w:lang w:val="en-GB" w:eastAsia="ko-KR"/>
                        </w:rPr>
                        <w:tab/>
                      </w:r>
                      <w:smartTag w:uri="urn:schemas-microsoft-com:office:smarttags" w:element="PersonName">
                        <w:r w:rsidRPr="00EE740A">
                          <w:rPr>
                            <w:rFonts w:eastAsia="Times New Roman" w:cs="Times New Roman"/>
                            <w:sz w:val="20"/>
                            <w:szCs w:val="20"/>
                            <w:lang w:val="en-GB" w:eastAsia="ko-KR"/>
                          </w:rPr>
                          <w:t>Can</w:t>
                        </w:r>
                      </w:smartTag>
                      <w:r w:rsidRPr="00EE740A">
                        <w:rPr>
                          <w:rFonts w:eastAsia="Times New Roman" w:cs="Times New Roman"/>
                          <w:sz w:val="20"/>
                          <w:szCs w:val="20"/>
                          <w:lang w:val="en-GB" w:eastAsia="ko-KR"/>
                        </w:rPr>
                        <w:t>didate Solution 1</w:t>
                      </w:r>
                      <w:bookmarkEnd w:id="7"/>
                    </w:p>
                    <w:p w14:paraId="560F395D"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OTA method based on the use of an Anechoic RF Chamber is described consisting of a number of test antennas located in the chamber transmitting signals with temporal and spatial characteristics for testing multiple antenna devices. The method consists of a number of test antennas located in different positions of the chamber, and the device under test (DUT) is located at the center position. The DUT is tested over the air without RF cables.</w:t>
                      </w:r>
                    </w:p>
                    <w:p w14:paraId="211882AC"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Anechoic chamber techniques creates a realistic geometric based spatio-temporal-polarimetric radio channel for testing MIMO performance using Geometric based stochastic channel models as defined in Clause 8.2.</w:t>
                      </w:r>
                    </w:p>
                    <w:p w14:paraId="4459CAD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components of the solution include:</w:t>
                      </w:r>
                    </w:p>
                    <w:p w14:paraId="43C66E98"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Anechoic Chamber</w:t>
                      </w:r>
                    </w:p>
                    <w:p w14:paraId="2E8D9FAD"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System Simulator (SS)</w:t>
                      </w:r>
                    </w:p>
                    <w:p w14:paraId="0A337D41"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channel RF emulator, with OTA Channel Generation Features</w:t>
                      </w:r>
                    </w:p>
                    <w:p w14:paraId="7458CC13"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linearly polarized antenna elements configured V, H or co-located V&amp;H or slant X polarizations</w:t>
                      </w:r>
                    </w:p>
                    <w:p w14:paraId="0D99EE37"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K azimuthally separated antenna positions with predefined angles at radius R</w:t>
                      </w:r>
                    </w:p>
                    <w:p w14:paraId="65546A74"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Channel model definition for each test case</w:t>
                      </w:r>
                    </w:p>
                    <w:p w14:paraId="7284C00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illustration of an anechoic chamber is shown in Figure 6.3.1.1-1 below.</w:t>
                      </w:r>
                    </w:p>
                    <w:p w14:paraId="69C6B45D" w14:textId="572E8D0B"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ascii="Times New Roman" w:eastAsia="Times New Roman" w:hAnsi="Times New Roman" w:cs="Times New Roman"/>
                          <w:b/>
                          <w:noProof/>
                          <w:sz w:val="16"/>
                          <w:szCs w:val="20"/>
                          <w:lang w:eastAsia="en-US"/>
                        </w:rPr>
                        <w:drawing>
                          <wp:inline distT="0" distB="0" distL="0" distR="0" wp14:anchorId="7BDF972B" wp14:editId="035E63FD">
                            <wp:extent cx="26860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1943100"/>
                                    </a:xfrm>
                                    <a:prstGeom prst="rect">
                                      <a:avLst/>
                                    </a:prstGeom>
                                    <a:noFill/>
                                    <a:ln>
                                      <a:noFill/>
                                    </a:ln>
                                  </pic:spPr>
                                </pic:pic>
                              </a:graphicData>
                            </a:graphic>
                          </wp:inline>
                        </w:drawing>
                      </w:r>
                    </w:p>
                    <w:p w14:paraId="07023113"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6.3.1.1-1: N-element Anechoic Chamber approach (Absorbing tiles and cabling not shown)</w:t>
                      </w:r>
                    </w:p>
                    <w:p w14:paraId="7A215ED8" w14:textId="75CDAECE"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eastAsia="Times New Roman" w:cs="Times New Roman"/>
                          <w:b/>
                          <w:noProof/>
                          <w:sz w:val="16"/>
                          <w:szCs w:val="20"/>
                          <w:lang w:eastAsia="en-US"/>
                        </w:rPr>
                        <w:drawing>
                          <wp:inline distT="0" distB="0" distL="0" distR="0" wp14:anchorId="4BB7409C" wp14:editId="112899B1">
                            <wp:extent cx="4791075" cy="1695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t="10917" b="11354"/>
                                    <a:stretch/>
                                  </pic:blipFill>
                                  <pic:spPr bwMode="auto">
                                    <a:xfrm>
                                      <a:off x="0" y="0"/>
                                      <a:ext cx="4791075" cy="1695450"/>
                                    </a:xfrm>
                                    <a:prstGeom prst="rect">
                                      <a:avLst/>
                                    </a:prstGeom>
                                    <a:noFill/>
                                    <a:ln>
                                      <a:noFill/>
                                    </a:ln>
                                    <a:extLst>
                                      <a:ext uri="{53640926-AAD7-44D8-BBD7-CCE9431645EC}">
                                        <a14:shadowObscured xmlns:a14="http://schemas.microsoft.com/office/drawing/2010/main"/>
                                      </a:ext>
                                    </a:extLst>
                                  </pic:spPr>
                                </pic:pic>
                              </a:graphicData>
                            </a:graphic>
                          </wp:inline>
                        </w:drawing>
                      </w:r>
                    </w:p>
                    <w:p w14:paraId="6D408678"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6.3.1.1-2: OTA system level block diagram</w:t>
                      </w:r>
                    </w:p>
                    <w:p w14:paraId="43AC4A59" w14:textId="5F738920" w:rsidR="00EE740A" w:rsidRPr="00EE740A" w:rsidRDefault="00EE740A" w:rsidP="00EE740A">
                      <w:pPr>
                        <w:rPr>
                          <w:sz w:val="18"/>
                        </w:rPr>
                      </w:pPr>
                      <w:r w:rsidRPr="00EE740A">
                        <w:rPr>
                          <w:rFonts w:ascii="Times New Roman" w:eastAsia="Times New Roman" w:hAnsi="Times New Roman" w:cs="Times New Roman"/>
                          <w:sz w:val="16"/>
                          <w:szCs w:val="20"/>
                          <w:lang w:val="en-GB" w:eastAsia="ko-KR"/>
                        </w:rPr>
                        <w:t>A system level block diagram is shown in Figure 6.3.1.1-2, which includes the SS to generate the M branch MIMO signal, and an RF Channel Emulator with an OTA Channel Generation Feature to properly correlate, fade, scale, delay, and distribute the signal to each test probe in the chamber.</w:t>
                      </w:r>
                    </w:p>
                  </w:txbxContent>
                </v:textbox>
                <w10:anchorlock/>
              </v:shape>
            </w:pict>
          </mc:Fallback>
        </mc:AlternateContent>
      </w:r>
    </w:p>
    <w:p w14:paraId="24F674A6" w14:textId="341BF697" w:rsidR="00FC7B2D" w:rsidRDefault="00FE2C04" w:rsidP="00FC3048">
      <w:pPr>
        <w:jc w:val="both"/>
        <w:rPr>
          <w:sz w:val="20"/>
          <w:szCs w:val="20"/>
          <w:lang w:eastAsia="en-US"/>
        </w:rPr>
      </w:pPr>
      <w:r>
        <w:rPr>
          <w:sz w:val="20"/>
          <w:szCs w:val="20"/>
          <w:lang w:eastAsia="en-US"/>
        </w:rPr>
        <w:lastRenderedPageBreak/>
        <w:t>In this description it has to be noted that the DL signal</w:t>
      </w:r>
      <w:r w:rsidR="005C01BD">
        <w:rPr>
          <w:sz w:val="20"/>
          <w:szCs w:val="20"/>
          <w:lang w:eastAsia="en-US"/>
        </w:rPr>
        <w:t>s</w:t>
      </w:r>
      <w:r>
        <w:rPr>
          <w:sz w:val="20"/>
          <w:szCs w:val="20"/>
          <w:lang w:eastAsia="en-US"/>
        </w:rPr>
        <w:t xml:space="preserve"> </w:t>
      </w:r>
      <w:r w:rsidR="005C01BD">
        <w:rPr>
          <w:sz w:val="20"/>
          <w:szCs w:val="20"/>
          <w:lang w:eastAsia="en-US"/>
        </w:rPr>
        <w:t>are</w:t>
      </w:r>
      <w:r>
        <w:rPr>
          <w:sz w:val="20"/>
          <w:szCs w:val="20"/>
          <w:lang w:eastAsia="en-US"/>
        </w:rPr>
        <w:t xml:space="preserve"> transmitted from the System Simulator (SS) through the Channel Emulator to the N dual polarized antennas inside the chamber, while the UL is returned to the SS through a communication antenna and the return path.</w:t>
      </w:r>
    </w:p>
    <w:p w14:paraId="7A5FCD05" w14:textId="39B0D8AC" w:rsidR="0009076C" w:rsidRDefault="00FE2C04" w:rsidP="00FC3048">
      <w:pPr>
        <w:jc w:val="both"/>
        <w:rPr>
          <w:sz w:val="20"/>
          <w:szCs w:val="20"/>
          <w:lang w:eastAsia="en-US"/>
        </w:rPr>
      </w:pPr>
      <w:r>
        <w:rPr>
          <w:sz w:val="20"/>
          <w:szCs w:val="20"/>
          <w:lang w:eastAsia="en-US"/>
        </w:rPr>
        <w:t xml:space="preserve">In the case of LTE, </w:t>
      </w:r>
      <w:r w:rsidR="005C01BD">
        <w:rPr>
          <w:sz w:val="20"/>
          <w:szCs w:val="20"/>
          <w:lang w:eastAsia="en-US"/>
        </w:rPr>
        <w:t xml:space="preserve">also applicable for </w:t>
      </w:r>
      <w:r>
        <w:rPr>
          <w:sz w:val="20"/>
          <w:szCs w:val="20"/>
          <w:lang w:eastAsia="en-US"/>
        </w:rPr>
        <w:t xml:space="preserve">NR FR1, this communication antenna is independent from the DL antennas and can be </w:t>
      </w:r>
      <w:r w:rsidR="005C01BD">
        <w:rPr>
          <w:sz w:val="20"/>
          <w:szCs w:val="20"/>
          <w:lang w:eastAsia="en-US"/>
        </w:rPr>
        <w:t xml:space="preserve">located </w:t>
      </w:r>
      <w:r>
        <w:rPr>
          <w:sz w:val="20"/>
          <w:szCs w:val="20"/>
          <w:lang w:eastAsia="en-US"/>
        </w:rPr>
        <w:t>anywhere in the anechoic chamber</w:t>
      </w:r>
      <w:r w:rsidR="005C01BD">
        <w:rPr>
          <w:sz w:val="20"/>
          <w:szCs w:val="20"/>
          <w:lang w:eastAsia="en-US"/>
        </w:rPr>
        <w:t xml:space="preserve"> in a place</w:t>
      </w:r>
      <w:r>
        <w:rPr>
          <w:sz w:val="20"/>
          <w:szCs w:val="20"/>
          <w:lang w:eastAsia="en-US"/>
        </w:rPr>
        <w:t xml:space="preserve"> where it doesn’t disturb the Test Volume and it ensures enough dynamic range for the UL signal to reach the SS.</w:t>
      </w:r>
    </w:p>
    <w:p w14:paraId="58948C11" w14:textId="77777777" w:rsidR="005C01BD" w:rsidRDefault="007138A5" w:rsidP="00FC3048">
      <w:pPr>
        <w:jc w:val="both"/>
        <w:rPr>
          <w:sz w:val="20"/>
          <w:szCs w:val="20"/>
          <w:lang w:eastAsia="en-US"/>
        </w:rPr>
      </w:pPr>
      <w:r>
        <w:rPr>
          <w:sz w:val="20"/>
          <w:szCs w:val="20"/>
          <w:lang w:eastAsia="en-US"/>
        </w:rPr>
        <w:t xml:space="preserve">For FR2 testing, this approach for the communication antenna </w:t>
      </w:r>
      <w:r w:rsidR="005C01BD">
        <w:rPr>
          <w:sz w:val="20"/>
          <w:szCs w:val="20"/>
          <w:lang w:eastAsia="en-US"/>
        </w:rPr>
        <w:t xml:space="preserve">cannot be used </w:t>
      </w:r>
      <w:r>
        <w:rPr>
          <w:sz w:val="20"/>
          <w:szCs w:val="20"/>
          <w:lang w:eastAsia="en-US"/>
        </w:rPr>
        <w:t xml:space="preserve">due to the beamforming capabilities of the UE, unless the UE is </w:t>
      </w:r>
      <w:r w:rsidR="005C01BD">
        <w:rPr>
          <w:sz w:val="20"/>
          <w:szCs w:val="20"/>
          <w:lang w:eastAsia="en-US"/>
        </w:rPr>
        <w:t>configured to keep its UL beam on a certain direction for the duration of the test.</w:t>
      </w:r>
      <w:r>
        <w:rPr>
          <w:sz w:val="20"/>
          <w:szCs w:val="20"/>
          <w:lang w:eastAsia="en-US"/>
        </w:rPr>
        <w:t xml:space="preserve"> </w:t>
      </w:r>
    </w:p>
    <w:p w14:paraId="3A283A8A" w14:textId="2F19AB9C" w:rsidR="00FF093D" w:rsidRDefault="005C01BD" w:rsidP="00FC3048">
      <w:pPr>
        <w:jc w:val="both"/>
        <w:rPr>
          <w:sz w:val="20"/>
          <w:szCs w:val="20"/>
          <w:lang w:eastAsia="en-US"/>
        </w:rPr>
      </w:pPr>
      <w:r>
        <w:rPr>
          <w:sz w:val="20"/>
          <w:szCs w:val="20"/>
          <w:lang w:eastAsia="en-US"/>
        </w:rPr>
        <w:t xml:space="preserve">This can be achieved by using the </w:t>
      </w:r>
      <w:r w:rsidRPr="007713AD">
        <w:rPr>
          <w:sz w:val="20"/>
          <w:szCs w:val="20"/>
          <w:lang w:eastAsia="en-US"/>
        </w:rPr>
        <w:t>UE beam lock function (UBF)</w:t>
      </w:r>
      <w:r>
        <w:rPr>
          <w:sz w:val="20"/>
          <w:szCs w:val="20"/>
          <w:lang w:eastAsia="en-US"/>
        </w:rPr>
        <w:t xml:space="preserve"> defined in</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_Ref16676983 \r \h </w:instrText>
      </w:r>
      <w:r w:rsidR="007407A7">
        <w:rPr>
          <w:sz w:val="20"/>
          <w:szCs w:val="20"/>
          <w:lang w:eastAsia="en-US"/>
        </w:rPr>
      </w:r>
      <w:r w:rsidR="007407A7">
        <w:rPr>
          <w:sz w:val="20"/>
          <w:szCs w:val="20"/>
          <w:lang w:eastAsia="en-US"/>
        </w:rPr>
        <w:fldChar w:fldCharType="separate"/>
      </w:r>
      <w:r w:rsidR="007407A7">
        <w:rPr>
          <w:sz w:val="20"/>
          <w:szCs w:val="20"/>
          <w:lang w:eastAsia="en-US"/>
        </w:rPr>
        <w:t>[4]</w:t>
      </w:r>
      <w:r w:rsidR="007407A7">
        <w:rPr>
          <w:sz w:val="20"/>
          <w:szCs w:val="20"/>
          <w:lang w:eastAsia="en-US"/>
        </w:rPr>
        <w:fldChar w:fldCharType="end"/>
      </w:r>
      <w:r w:rsidRPr="00B5717A">
        <w:rPr>
          <w:sz w:val="20"/>
          <w:szCs w:val="20"/>
          <w:lang w:eastAsia="en-US"/>
        </w:rPr>
        <w:t xml:space="preserve"> and</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_Ref16676992 \r \h </w:instrText>
      </w:r>
      <w:r w:rsidR="007407A7">
        <w:rPr>
          <w:sz w:val="20"/>
          <w:szCs w:val="20"/>
          <w:lang w:eastAsia="en-US"/>
        </w:rPr>
      </w:r>
      <w:r w:rsidR="007407A7">
        <w:rPr>
          <w:sz w:val="20"/>
          <w:szCs w:val="20"/>
          <w:lang w:eastAsia="en-US"/>
        </w:rPr>
        <w:fldChar w:fldCharType="separate"/>
      </w:r>
      <w:r w:rsidR="007407A7">
        <w:rPr>
          <w:sz w:val="20"/>
          <w:szCs w:val="20"/>
          <w:lang w:eastAsia="en-US"/>
        </w:rPr>
        <w:t>[5]</w:t>
      </w:r>
      <w:r w:rsidR="007407A7">
        <w:rPr>
          <w:sz w:val="20"/>
          <w:szCs w:val="20"/>
          <w:lang w:eastAsia="en-US"/>
        </w:rPr>
        <w:fldChar w:fldCharType="end"/>
      </w:r>
      <w:r>
        <w:rPr>
          <w:sz w:val="20"/>
          <w:szCs w:val="20"/>
          <w:lang w:eastAsia="en-US"/>
        </w:rPr>
        <w:t>, and widely used in the RF conformance test specification</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_Ref16677001 \r \h </w:instrText>
      </w:r>
      <w:r w:rsidR="007407A7">
        <w:rPr>
          <w:sz w:val="20"/>
          <w:szCs w:val="20"/>
          <w:lang w:eastAsia="en-US"/>
        </w:rPr>
      </w:r>
      <w:r w:rsidR="007407A7">
        <w:rPr>
          <w:sz w:val="20"/>
          <w:szCs w:val="20"/>
          <w:lang w:eastAsia="en-US"/>
        </w:rPr>
        <w:fldChar w:fldCharType="separate"/>
      </w:r>
      <w:r w:rsidR="007407A7">
        <w:rPr>
          <w:sz w:val="20"/>
          <w:szCs w:val="20"/>
          <w:lang w:eastAsia="en-US"/>
        </w:rPr>
        <w:t>[3]</w:t>
      </w:r>
      <w:r w:rsidR="007407A7">
        <w:rPr>
          <w:sz w:val="20"/>
          <w:szCs w:val="20"/>
          <w:lang w:eastAsia="en-US"/>
        </w:rPr>
        <w:fldChar w:fldCharType="end"/>
      </w:r>
      <w:r>
        <w:rPr>
          <w:sz w:val="20"/>
          <w:szCs w:val="20"/>
          <w:lang w:eastAsia="en-US"/>
        </w:rPr>
        <w:t xml:space="preserve">. </w:t>
      </w:r>
      <w:r w:rsidR="00BC0915" w:rsidRPr="00B915EB">
        <w:rPr>
          <w:sz w:val="20"/>
          <w:szCs w:val="20"/>
          <w:lang w:eastAsia="en-US"/>
        </w:rPr>
        <w:t xml:space="preserve">During </w:t>
      </w:r>
      <w:r w:rsidR="007713AD">
        <w:rPr>
          <w:sz w:val="20"/>
          <w:szCs w:val="20"/>
          <w:lang w:eastAsia="en-US"/>
        </w:rPr>
        <w:t>the Study Item on test methods for NR FR2</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_Ref16677010 \r \h </w:instrText>
      </w:r>
      <w:r w:rsidR="007407A7">
        <w:rPr>
          <w:sz w:val="20"/>
          <w:szCs w:val="20"/>
          <w:lang w:eastAsia="en-US"/>
        </w:rPr>
      </w:r>
      <w:r w:rsidR="007407A7">
        <w:rPr>
          <w:sz w:val="20"/>
          <w:szCs w:val="20"/>
          <w:lang w:eastAsia="en-US"/>
        </w:rPr>
        <w:fldChar w:fldCharType="separate"/>
      </w:r>
      <w:r w:rsidR="007407A7">
        <w:rPr>
          <w:sz w:val="20"/>
          <w:szCs w:val="20"/>
          <w:lang w:eastAsia="en-US"/>
        </w:rPr>
        <w:t>[2]</w:t>
      </w:r>
      <w:r w:rsidR="007407A7">
        <w:rPr>
          <w:sz w:val="20"/>
          <w:szCs w:val="20"/>
          <w:lang w:eastAsia="en-US"/>
        </w:rPr>
        <w:fldChar w:fldCharType="end"/>
      </w:r>
      <w:r w:rsidR="007713AD">
        <w:rPr>
          <w:sz w:val="20"/>
          <w:szCs w:val="20"/>
          <w:lang w:eastAsia="en-US"/>
        </w:rPr>
        <w:t xml:space="preserve">, the need for </w:t>
      </w:r>
      <w:r>
        <w:rPr>
          <w:sz w:val="20"/>
          <w:szCs w:val="20"/>
          <w:lang w:eastAsia="en-US"/>
        </w:rPr>
        <w:t xml:space="preserve">the UBF </w:t>
      </w:r>
      <w:r w:rsidR="007713AD">
        <w:rPr>
          <w:sz w:val="20"/>
          <w:szCs w:val="20"/>
          <w:lang w:eastAsia="en-US"/>
        </w:rPr>
        <w:t>was deemed mandatory as a Test Interface (TI)</w:t>
      </w:r>
      <w:r w:rsidR="000C2B1E">
        <w:rPr>
          <w:sz w:val="20"/>
          <w:szCs w:val="20"/>
          <w:lang w:eastAsia="en-US"/>
        </w:rPr>
        <w:t xml:space="preserve"> </w:t>
      </w:r>
      <w:r w:rsidR="000C2B1E" w:rsidRPr="007713AD">
        <w:rPr>
          <w:sz w:val="20"/>
          <w:szCs w:val="20"/>
          <w:lang w:eastAsia="en-US"/>
        </w:rPr>
        <w:t>to simplify the test method complexity</w:t>
      </w:r>
      <w:r w:rsidR="000C2B1E">
        <w:rPr>
          <w:sz w:val="20"/>
          <w:szCs w:val="20"/>
          <w:lang w:eastAsia="en-US"/>
        </w:rPr>
        <w:t>.</w:t>
      </w:r>
      <w:r w:rsidR="00660D91">
        <w:rPr>
          <w:sz w:val="20"/>
          <w:szCs w:val="20"/>
          <w:lang w:eastAsia="en-US"/>
        </w:rPr>
        <w:t xml:space="preserve"> </w:t>
      </w:r>
    </w:p>
    <w:p w14:paraId="3A9FCA7D" w14:textId="174FEA0E" w:rsidR="00813C97" w:rsidRPr="00B915EB" w:rsidRDefault="007713AD" w:rsidP="00813C97">
      <w:pPr>
        <w:pStyle w:val="Heading1"/>
        <w:rPr>
          <w:rFonts w:cs="Arial"/>
          <w:sz w:val="24"/>
          <w:szCs w:val="24"/>
          <w:lang w:val="en-US"/>
        </w:rPr>
      </w:pPr>
      <w:r>
        <w:rPr>
          <w:rFonts w:cs="Arial"/>
          <w:sz w:val="24"/>
          <w:szCs w:val="24"/>
          <w:lang w:val="en-US"/>
        </w:rPr>
        <w:t>Proposal</w:t>
      </w:r>
    </w:p>
    <w:p w14:paraId="1F27E1D2" w14:textId="3F309D6E" w:rsidR="00813C97" w:rsidRPr="00B915EB" w:rsidRDefault="005C01BD" w:rsidP="00813C97">
      <w:pPr>
        <w:jc w:val="both"/>
        <w:rPr>
          <w:sz w:val="20"/>
          <w:szCs w:val="20"/>
          <w:lang w:eastAsia="en-US"/>
        </w:rPr>
      </w:pPr>
      <w:r>
        <w:rPr>
          <w:sz w:val="20"/>
          <w:szCs w:val="20"/>
          <w:lang w:eastAsia="en-US"/>
        </w:rPr>
        <w:t>According to the background provided</w:t>
      </w:r>
      <w:r w:rsidR="007407A7">
        <w:rPr>
          <w:sz w:val="20"/>
          <w:szCs w:val="20"/>
          <w:lang w:eastAsia="en-US"/>
        </w:rPr>
        <w:t xml:space="preserve"> in this contribution</w:t>
      </w:r>
      <w:r>
        <w:rPr>
          <w:sz w:val="20"/>
          <w:szCs w:val="20"/>
          <w:lang w:eastAsia="en-US"/>
        </w:rPr>
        <w:t>, the following proposal is made:</w:t>
      </w:r>
    </w:p>
    <w:bookmarkEnd w:id="4"/>
    <w:bookmarkEnd w:id="5"/>
    <w:p w14:paraId="48EEE311" w14:textId="6A911994" w:rsidR="009766C1" w:rsidRDefault="009766C1" w:rsidP="009766C1">
      <w:pPr>
        <w:jc w:val="both"/>
        <w:rPr>
          <w:b/>
          <w:sz w:val="20"/>
          <w:szCs w:val="20"/>
          <w:lang w:eastAsia="en-US"/>
        </w:rPr>
      </w:pPr>
      <w:r>
        <w:rPr>
          <w:b/>
          <w:sz w:val="20"/>
          <w:szCs w:val="20"/>
          <w:lang w:eastAsia="en-US"/>
        </w:rPr>
        <w:t xml:space="preserve">Proposal: </w:t>
      </w:r>
      <w:r w:rsidR="00660D91">
        <w:rPr>
          <w:b/>
          <w:sz w:val="20"/>
          <w:szCs w:val="20"/>
          <w:lang w:eastAsia="en-US"/>
        </w:rPr>
        <w:t xml:space="preserve">Adopt the </w:t>
      </w:r>
      <w:r w:rsidR="00660D91" w:rsidRPr="00660D91">
        <w:rPr>
          <w:b/>
          <w:sz w:val="20"/>
          <w:szCs w:val="20"/>
          <w:lang w:eastAsia="en-US"/>
        </w:rPr>
        <w:t>UE beam lock function (UBF)</w:t>
      </w:r>
      <w:r w:rsidR="00660D91">
        <w:rPr>
          <w:b/>
          <w:sz w:val="20"/>
          <w:szCs w:val="20"/>
          <w:lang w:eastAsia="en-US"/>
        </w:rPr>
        <w:t xml:space="preserve"> as required Test Interface (TI) for FR2 NR MIMO OTA methodologies</w:t>
      </w:r>
      <w:r>
        <w:rPr>
          <w:b/>
          <w:sz w:val="20"/>
          <w:szCs w:val="20"/>
          <w:lang w:eastAsia="en-US"/>
        </w:rPr>
        <w:t>.</w:t>
      </w:r>
    </w:p>
    <w:p w14:paraId="05DB11F6" w14:textId="77777777" w:rsidR="001D04B1" w:rsidRPr="00B915EB" w:rsidRDefault="001D04B1" w:rsidP="001D04B1">
      <w:pPr>
        <w:pStyle w:val="Heading1"/>
        <w:rPr>
          <w:rFonts w:cs="Arial"/>
          <w:sz w:val="24"/>
          <w:lang w:val="en-US"/>
        </w:rPr>
      </w:pPr>
      <w:r w:rsidRPr="00B915EB">
        <w:rPr>
          <w:rFonts w:cs="Arial"/>
          <w:sz w:val="24"/>
          <w:lang w:val="en-US"/>
        </w:rPr>
        <w:t>References</w:t>
      </w:r>
    </w:p>
    <w:p w14:paraId="20DE4CF8" w14:textId="529F2D8C" w:rsidR="0045195C" w:rsidRDefault="0045195C" w:rsidP="007407A7">
      <w:pPr>
        <w:pStyle w:val="ListParagraph"/>
        <w:numPr>
          <w:ilvl w:val="0"/>
          <w:numId w:val="4"/>
        </w:numPr>
        <w:rPr>
          <w:rFonts w:ascii="Arial" w:hAnsi="Arial" w:cs="Arial"/>
          <w:lang w:val="en-US"/>
        </w:rPr>
      </w:pPr>
      <w:bookmarkStart w:id="8" w:name="_Ref16676971"/>
      <w:bookmarkStart w:id="9" w:name="_Ref889843"/>
      <w:r>
        <w:rPr>
          <w:rFonts w:ascii="Arial" w:hAnsi="Arial" w:cs="Arial"/>
          <w:lang w:val="en-US"/>
        </w:rPr>
        <w:t>3GPP TR 37.977</w:t>
      </w:r>
      <w:r w:rsidR="007407A7">
        <w:rPr>
          <w:rFonts w:ascii="Arial" w:hAnsi="Arial" w:cs="Arial"/>
          <w:lang w:val="en-US"/>
        </w:rPr>
        <w:t>, “</w:t>
      </w:r>
      <w:r w:rsidR="007407A7" w:rsidRPr="007407A7">
        <w:rPr>
          <w:rFonts w:ascii="Arial" w:hAnsi="Arial" w:cs="Arial"/>
          <w:lang w:val="en-US"/>
        </w:rPr>
        <w:t>Universal Terrestrial Radio Access (UTRA) and Evolved Universal Terrestrial Radio Access (E-UTRA); Verification of radiated multi-antenna reception performance of User Equipment (UE)</w:t>
      </w:r>
      <w:r w:rsidR="007407A7">
        <w:rPr>
          <w:rFonts w:ascii="Arial" w:hAnsi="Arial" w:cs="Arial"/>
          <w:lang w:val="en-US"/>
        </w:rPr>
        <w:t>”</w:t>
      </w:r>
      <w:bookmarkEnd w:id="8"/>
      <w:r w:rsidR="00E02597">
        <w:rPr>
          <w:rFonts w:ascii="Arial" w:hAnsi="Arial" w:cs="Arial"/>
          <w:lang w:val="en-US"/>
        </w:rPr>
        <w:t>, v15.0.0 (2018-09).</w:t>
      </w:r>
    </w:p>
    <w:p w14:paraId="4873F9ED" w14:textId="24F902AD" w:rsidR="00BC0915" w:rsidRPr="0082068C" w:rsidRDefault="000C2B1E" w:rsidP="007407A7">
      <w:pPr>
        <w:pStyle w:val="ListParagraph"/>
        <w:numPr>
          <w:ilvl w:val="0"/>
          <w:numId w:val="4"/>
        </w:numPr>
        <w:rPr>
          <w:rFonts w:ascii="Arial" w:hAnsi="Arial" w:cs="Arial"/>
          <w:lang w:val="en-US"/>
        </w:rPr>
      </w:pPr>
      <w:bookmarkStart w:id="10" w:name="_Ref16677010"/>
      <w:r>
        <w:rPr>
          <w:rFonts w:ascii="Arial" w:hAnsi="Arial" w:cs="Arial"/>
          <w:lang w:val="en-US"/>
        </w:rPr>
        <w:t xml:space="preserve">3GPP </w:t>
      </w:r>
      <w:r w:rsidR="006A3B2B">
        <w:rPr>
          <w:rFonts w:ascii="Arial" w:hAnsi="Arial" w:cs="Arial"/>
          <w:lang w:val="en-US"/>
        </w:rPr>
        <w:t>TR 38.810</w:t>
      </w:r>
      <w:r w:rsidR="007407A7">
        <w:rPr>
          <w:rFonts w:ascii="Arial" w:hAnsi="Arial" w:cs="Arial"/>
          <w:lang w:val="en-US"/>
        </w:rPr>
        <w:t>, “</w:t>
      </w:r>
      <w:r w:rsidR="007407A7" w:rsidRPr="007407A7">
        <w:rPr>
          <w:rFonts w:ascii="Arial" w:hAnsi="Arial" w:cs="Arial"/>
          <w:lang w:val="en-US"/>
        </w:rPr>
        <w:t>NR; Study on test methods</w:t>
      </w:r>
      <w:r w:rsidR="007407A7">
        <w:rPr>
          <w:rFonts w:ascii="Arial" w:hAnsi="Arial" w:cs="Arial"/>
          <w:lang w:val="en-US"/>
        </w:rPr>
        <w:t>”</w:t>
      </w:r>
      <w:bookmarkEnd w:id="10"/>
      <w:r w:rsidR="00E02597">
        <w:rPr>
          <w:rFonts w:ascii="Arial" w:hAnsi="Arial" w:cs="Arial"/>
          <w:lang w:val="en-US"/>
        </w:rPr>
        <w:t>, v16.3.0 (2019-07).</w:t>
      </w:r>
    </w:p>
    <w:p w14:paraId="69C98468" w14:textId="1C2AD136" w:rsidR="006A3B2B" w:rsidRDefault="000C2B1E" w:rsidP="007407A7">
      <w:pPr>
        <w:pStyle w:val="ListParagraph"/>
        <w:numPr>
          <w:ilvl w:val="0"/>
          <w:numId w:val="4"/>
        </w:numPr>
        <w:rPr>
          <w:rFonts w:ascii="Arial" w:hAnsi="Arial" w:cs="Arial"/>
          <w:lang w:val="en-US"/>
        </w:rPr>
      </w:pPr>
      <w:bookmarkStart w:id="11" w:name="_Ref16677001"/>
      <w:r>
        <w:rPr>
          <w:rFonts w:ascii="Arial" w:hAnsi="Arial" w:cs="Arial"/>
          <w:lang w:val="en-US"/>
        </w:rPr>
        <w:t xml:space="preserve">3GPP </w:t>
      </w:r>
      <w:r w:rsidR="006A3B2B">
        <w:rPr>
          <w:rFonts w:ascii="Arial" w:hAnsi="Arial" w:cs="Arial"/>
          <w:lang w:val="en-US"/>
        </w:rPr>
        <w:t>T</w:t>
      </w:r>
      <w:r>
        <w:rPr>
          <w:rFonts w:ascii="Arial" w:hAnsi="Arial" w:cs="Arial"/>
          <w:lang w:val="en-US"/>
        </w:rPr>
        <w:t>S</w:t>
      </w:r>
      <w:r w:rsidR="006A3B2B">
        <w:rPr>
          <w:rFonts w:ascii="Arial" w:hAnsi="Arial" w:cs="Arial"/>
          <w:lang w:val="en-US"/>
        </w:rPr>
        <w:t xml:space="preserve"> 38.521-2</w:t>
      </w:r>
      <w:r w:rsidR="007407A7">
        <w:rPr>
          <w:rFonts w:ascii="Arial" w:hAnsi="Arial" w:cs="Arial"/>
          <w:lang w:val="en-US"/>
        </w:rPr>
        <w:t>, “</w:t>
      </w:r>
      <w:r w:rsidR="007407A7" w:rsidRPr="007407A7">
        <w:rPr>
          <w:rFonts w:ascii="Arial" w:hAnsi="Arial" w:cs="Arial"/>
          <w:lang w:val="en-US"/>
        </w:rPr>
        <w:t>NR; User Equipment (UE) conformance specification; Radio transmission and reception; Part 2: Range 2 standalone</w:t>
      </w:r>
      <w:r w:rsidR="007407A7">
        <w:rPr>
          <w:rFonts w:ascii="Arial" w:hAnsi="Arial" w:cs="Arial"/>
          <w:lang w:val="en-US"/>
        </w:rPr>
        <w:t>”</w:t>
      </w:r>
      <w:bookmarkEnd w:id="11"/>
      <w:r w:rsidR="00E02597">
        <w:rPr>
          <w:rFonts w:ascii="Arial" w:hAnsi="Arial" w:cs="Arial"/>
          <w:lang w:val="en-US"/>
        </w:rPr>
        <w:t>, v15.3.0 (2019-06).</w:t>
      </w:r>
    </w:p>
    <w:p w14:paraId="563178F3" w14:textId="2A3CA5DA" w:rsidR="00E96DB0" w:rsidRDefault="000C2B1E" w:rsidP="007407A7">
      <w:pPr>
        <w:pStyle w:val="ListParagraph"/>
        <w:numPr>
          <w:ilvl w:val="0"/>
          <w:numId w:val="4"/>
        </w:numPr>
        <w:rPr>
          <w:rFonts w:ascii="Arial" w:hAnsi="Arial" w:cs="Arial"/>
          <w:lang w:val="en-US"/>
        </w:rPr>
      </w:pPr>
      <w:bookmarkStart w:id="12" w:name="_Ref16676983"/>
      <w:r>
        <w:rPr>
          <w:rFonts w:ascii="Arial" w:hAnsi="Arial" w:cs="Arial"/>
          <w:lang w:val="en-US"/>
        </w:rPr>
        <w:t xml:space="preserve">3GPP </w:t>
      </w:r>
      <w:r w:rsidR="006A3B2B">
        <w:rPr>
          <w:rFonts w:ascii="Arial" w:hAnsi="Arial" w:cs="Arial"/>
          <w:lang w:val="en-US"/>
        </w:rPr>
        <w:t>T</w:t>
      </w:r>
      <w:r>
        <w:rPr>
          <w:rFonts w:ascii="Arial" w:hAnsi="Arial" w:cs="Arial"/>
          <w:lang w:val="en-US"/>
        </w:rPr>
        <w:t>S</w:t>
      </w:r>
      <w:r w:rsidR="006A3B2B">
        <w:rPr>
          <w:rFonts w:ascii="Arial" w:hAnsi="Arial" w:cs="Arial"/>
          <w:lang w:val="en-US"/>
        </w:rPr>
        <w:t xml:space="preserve"> 38.508</w:t>
      </w:r>
      <w:r>
        <w:rPr>
          <w:rFonts w:ascii="Arial" w:hAnsi="Arial" w:cs="Arial"/>
          <w:lang w:val="en-US"/>
        </w:rPr>
        <w:t>-1</w:t>
      </w:r>
      <w:r w:rsidR="007407A7">
        <w:rPr>
          <w:rFonts w:ascii="Arial" w:hAnsi="Arial" w:cs="Arial"/>
          <w:lang w:val="en-US"/>
        </w:rPr>
        <w:t>, “</w:t>
      </w:r>
      <w:r w:rsidR="007407A7" w:rsidRPr="007407A7">
        <w:rPr>
          <w:rFonts w:ascii="Arial" w:hAnsi="Arial" w:cs="Arial"/>
          <w:lang w:val="en-US"/>
        </w:rPr>
        <w:t>5GS; User Equipment (UE) conformance specification; Part 1: Common test environment</w:t>
      </w:r>
      <w:r w:rsidR="007407A7">
        <w:rPr>
          <w:rFonts w:ascii="Arial" w:hAnsi="Arial" w:cs="Arial"/>
          <w:lang w:val="en-US"/>
        </w:rPr>
        <w:t>”</w:t>
      </w:r>
      <w:bookmarkEnd w:id="12"/>
      <w:r w:rsidR="00E02597">
        <w:rPr>
          <w:rFonts w:ascii="Arial" w:hAnsi="Arial" w:cs="Arial"/>
          <w:lang w:val="en-US"/>
        </w:rPr>
        <w:t>, v15.4.0 (2019-06).</w:t>
      </w:r>
    </w:p>
    <w:p w14:paraId="53A3A094" w14:textId="0B57DCFE" w:rsidR="000C2B1E" w:rsidRPr="0082068C" w:rsidRDefault="000C2B1E" w:rsidP="007407A7">
      <w:pPr>
        <w:pStyle w:val="ListParagraph"/>
        <w:numPr>
          <w:ilvl w:val="0"/>
          <w:numId w:val="4"/>
        </w:numPr>
        <w:rPr>
          <w:rFonts w:ascii="Arial" w:hAnsi="Arial" w:cs="Arial"/>
          <w:lang w:val="en-US"/>
        </w:rPr>
      </w:pPr>
      <w:bookmarkStart w:id="13" w:name="_Ref16676992"/>
      <w:r>
        <w:rPr>
          <w:rFonts w:ascii="Arial" w:hAnsi="Arial" w:cs="Arial"/>
          <w:lang w:val="en-US"/>
        </w:rPr>
        <w:t>3GPP TS 38.509</w:t>
      </w:r>
      <w:r w:rsidR="007407A7">
        <w:rPr>
          <w:rFonts w:ascii="Arial" w:hAnsi="Arial" w:cs="Arial"/>
          <w:lang w:val="en-US"/>
        </w:rPr>
        <w:t>, “</w:t>
      </w:r>
      <w:r w:rsidR="007407A7" w:rsidRPr="007407A7">
        <w:rPr>
          <w:rFonts w:ascii="Arial" w:hAnsi="Arial" w:cs="Arial"/>
          <w:lang w:val="en-US"/>
        </w:rPr>
        <w:t>5GS; Special conformance testing functions for User Equipment (UE)</w:t>
      </w:r>
      <w:r w:rsidR="007407A7">
        <w:rPr>
          <w:rFonts w:ascii="Arial" w:hAnsi="Arial" w:cs="Arial"/>
          <w:lang w:val="en-US"/>
        </w:rPr>
        <w:t>”</w:t>
      </w:r>
      <w:bookmarkEnd w:id="13"/>
      <w:r w:rsidR="00E02597">
        <w:rPr>
          <w:rFonts w:ascii="Arial" w:hAnsi="Arial" w:cs="Arial"/>
          <w:lang w:val="en-US"/>
        </w:rPr>
        <w:t>, v15.4.0 (2019-06).</w:t>
      </w:r>
    </w:p>
    <w:bookmarkEnd w:id="9"/>
    <w:p w14:paraId="2CC2C96C" w14:textId="77777777" w:rsidR="001D04B1" w:rsidRPr="00B915EB" w:rsidRDefault="001D04B1" w:rsidP="001D04B1">
      <w:pPr>
        <w:rPr>
          <w:lang w:eastAsia="en-US"/>
        </w:rPr>
      </w:pPr>
    </w:p>
    <w:sectPr w:rsidR="001D04B1" w:rsidRPr="00B915EB"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B8438" w14:textId="77777777" w:rsidR="00D33482" w:rsidRDefault="00D33482" w:rsidP="00371D7D">
      <w:r>
        <w:separator/>
      </w:r>
    </w:p>
  </w:endnote>
  <w:endnote w:type="continuationSeparator" w:id="0">
    <w:p w14:paraId="226F8C70" w14:textId="77777777" w:rsidR="00D33482" w:rsidRDefault="00D3348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F92BEB" w:rsidRDefault="00F92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C487029" w:rsidR="00F92BEB" w:rsidRPr="000E7B1E" w:rsidRDefault="00F92BE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8181B">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F92BEB" w:rsidRDefault="00F92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6BD51" w14:textId="77777777" w:rsidR="00D33482" w:rsidRDefault="00D33482" w:rsidP="00371D7D">
      <w:r>
        <w:separator/>
      </w:r>
    </w:p>
  </w:footnote>
  <w:footnote w:type="continuationSeparator" w:id="0">
    <w:p w14:paraId="038A5EDD" w14:textId="77777777" w:rsidR="00D33482" w:rsidRDefault="00D3348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F92BEB" w:rsidRDefault="00F92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F92BEB" w:rsidRDefault="00F92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F92BEB" w:rsidRDefault="00F92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66F41"/>
    <w:multiLevelType w:val="hybridMultilevel"/>
    <w:tmpl w:val="DE4E0CD8"/>
    <w:lvl w:ilvl="0" w:tplc="1B284FE0">
      <w:start w:val="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7"/>
  </w:num>
  <w:num w:numId="2">
    <w:abstractNumId w:val="26"/>
  </w:num>
  <w:num w:numId="3">
    <w:abstractNumId w:val="7"/>
  </w:num>
  <w:num w:numId="4">
    <w:abstractNumId w:val="12"/>
  </w:num>
  <w:num w:numId="5">
    <w:abstractNumId w:val="15"/>
  </w:num>
  <w:num w:numId="6">
    <w:abstractNumId w:val="11"/>
  </w:num>
  <w:num w:numId="7">
    <w:abstractNumId w:val="19"/>
  </w:num>
  <w:num w:numId="8">
    <w:abstractNumId w:val="7"/>
  </w:num>
  <w:num w:numId="9">
    <w:abstractNumId w:val="8"/>
  </w:num>
  <w:num w:numId="10">
    <w:abstractNumId w:val="22"/>
  </w:num>
  <w:num w:numId="11">
    <w:abstractNumId w:val="16"/>
  </w:num>
  <w:num w:numId="12">
    <w:abstractNumId w:val="25"/>
  </w:num>
  <w:num w:numId="13">
    <w:abstractNumId w:val="18"/>
  </w:num>
  <w:num w:numId="14">
    <w:abstractNumId w:val="1"/>
  </w:num>
  <w:num w:numId="15">
    <w:abstractNumId w:val="13"/>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4"/>
  </w:num>
  <w:num w:numId="21">
    <w:abstractNumId w:val="24"/>
  </w:num>
  <w:num w:numId="22">
    <w:abstractNumId w:val="20"/>
  </w:num>
  <w:num w:numId="23">
    <w:abstractNumId w:val="21"/>
  </w:num>
  <w:num w:numId="24">
    <w:abstractNumId w:val="5"/>
  </w:num>
  <w:num w:numId="25">
    <w:abstractNumId w:val="17"/>
  </w:num>
  <w:num w:numId="26">
    <w:abstractNumId w:val="17"/>
  </w:num>
  <w:num w:numId="27">
    <w:abstractNumId w:val="14"/>
  </w:num>
  <w:num w:numId="28">
    <w:abstractNumId w:val="17"/>
  </w:num>
  <w:num w:numId="29">
    <w:abstractNumId w:val="17"/>
  </w:num>
  <w:num w:numId="30">
    <w:abstractNumId w:val="7"/>
  </w:num>
  <w:num w:numId="31">
    <w:abstractNumId w:val="7"/>
  </w:num>
  <w:num w:numId="32">
    <w:abstractNumId w:val="7"/>
  </w:num>
  <w:num w:numId="33">
    <w:abstractNumId w:val="17"/>
  </w:num>
  <w:num w:numId="34">
    <w:abstractNumId w:val="17"/>
  </w:num>
  <w:num w:numId="35">
    <w:abstractNumId w:val="2"/>
  </w:num>
  <w:num w:numId="36">
    <w:abstractNumId w:val="7"/>
  </w:num>
  <w:num w:numId="37">
    <w:abstractNumId w:val="6"/>
  </w:num>
  <w:num w:numId="38">
    <w:abstractNumId w:val="7"/>
  </w:num>
  <w:num w:numId="39">
    <w:abstractNumId w:val="10"/>
  </w:num>
  <w:num w:numId="4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CB9"/>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52BE"/>
    <w:rsid w:val="0006555A"/>
    <w:rsid w:val="00072CF5"/>
    <w:rsid w:val="00075135"/>
    <w:rsid w:val="000762B7"/>
    <w:rsid w:val="000767C6"/>
    <w:rsid w:val="00076F79"/>
    <w:rsid w:val="0008030B"/>
    <w:rsid w:val="000814E4"/>
    <w:rsid w:val="00081C35"/>
    <w:rsid w:val="000828B5"/>
    <w:rsid w:val="00082A5B"/>
    <w:rsid w:val="0009076C"/>
    <w:rsid w:val="00092C97"/>
    <w:rsid w:val="00096AAF"/>
    <w:rsid w:val="000A02E3"/>
    <w:rsid w:val="000A0514"/>
    <w:rsid w:val="000A12AC"/>
    <w:rsid w:val="000A24CE"/>
    <w:rsid w:val="000A262C"/>
    <w:rsid w:val="000A2FB0"/>
    <w:rsid w:val="000A3642"/>
    <w:rsid w:val="000A6628"/>
    <w:rsid w:val="000A7F21"/>
    <w:rsid w:val="000B0F54"/>
    <w:rsid w:val="000B3739"/>
    <w:rsid w:val="000B4E1F"/>
    <w:rsid w:val="000B663A"/>
    <w:rsid w:val="000B7FC7"/>
    <w:rsid w:val="000C194F"/>
    <w:rsid w:val="000C2296"/>
    <w:rsid w:val="000C2B1E"/>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7A0"/>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232"/>
    <w:rsid w:val="004353D1"/>
    <w:rsid w:val="004372AD"/>
    <w:rsid w:val="00442027"/>
    <w:rsid w:val="00445FD4"/>
    <w:rsid w:val="00446661"/>
    <w:rsid w:val="00451093"/>
    <w:rsid w:val="0045123F"/>
    <w:rsid w:val="0045195C"/>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01BD"/>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8BC"/>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37F28"/>
    <w:rsid w:val="00640E01"/>
    <w:rsid w:val="00641EC6"/>
    <w:rsid w:val="00645237"/>
    <w:rsid w:val="006466C9"/>
    <w:rsid w:val="00647313"/>
    <w:rsid w:val="00650BBD"/>
    <w:rsid w:val="00650E47"/>
    <w:rsid w:val="00654178"/>
    <w:rsid w:val="00660D91"/>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2B"/>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A5"/>
    <w:rsid w:val="007138CB"/>
    <w:rsid w:val="007174F8"/>
    <w:rsid w:val="00720003"/>
    <w:rsid w:val="00720FB7"/>
    <w:rsid w:val="00724558"/>
    <w:rsid w:val="007246E4"/>
    <w:rsid w:val="00725160"/>
    <w:rsid w:val="00727BBE"/>
    <w:rsid w:val="00731B27"/>
    <w:rsid w:val="007327DA"/>
    <w:rsid w:val="007330E2"/>
    <w:rsid w:val="00733D87"/>
    <w:rsid w:val="00733F43"/>
    <w:rsid w:val="00735D1F"/>
    <w:rsid w:val="0073610E"/>
    <w:rsid w:val="00736A55"/>
    <w:rsid w:val="007407A7"/>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13AD"/>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4C8B"/>
    <w:rsid w:val="009863CE"/>
    <w:rsid w:val="00987740"/>
    <w:rsid w:val="009879A0"/>
    <w:rsid w:val="00987C1F"/>
    <w:rsid w:val="009926B6"/>
    <w:rsid w:val="0099496E"/>
    <w:rsid w:val="00994F45"/>
    <w:rsid w:val="00997680"/>
    <w:rsid w:val="009A1270"/>
    <w:rsid w:val="009A3C37"/>
    <w:rsid w:val="009B1044"/>
    <w:rsid w:val="009C0CB9"/>
    <w:rsid w:val="009C2950"/>
    <w:rsid w:val="009C51E1"/>
    <w:rsid w:val="009C536C"/>
    <w:rsid w:val="009C5C15"/>
    <w:rsid w:val="009C605F"/>
    <w:rsid w:val="009C6A12"/>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17A"/>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81B"/>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33D1"/>
    <w:rsid w:val="00C24153"/>
    <w:rsid w:val="00C242EA"/>
    <w:rsid w:val="00C25111"/>
    <w:rsid w:val="00C251AE"/>
    <w:rsid w:val="00C253B8"/>
    <w:rsid w:val="00C25FFD"/>
    <w:rsid w:val="00C273A2"/>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CF4A6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482"/>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2597"/>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E740A"/>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397A"/>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C7B2D"/>
    <w:rsid w:val="00FD35F8"/>
    <w:rsid w:val="00FD3753"/>
    <w:rsid w:val="00FD64B7"/>
    <w:rsid w:val="00FD6C8C"/>
    <w:rsid w:val="00FE1AEC"/>
    <w:rsid w:val="00FE2C04"/>
    <w:rsid w:val="00FE3C99"/>
    <w:rsid w:val="00FE46CF"/>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4:docId w14:val="5CD8087A"/>
  <w15:docId w15:val="{AD244ACA-DB50-4DDC-8F28-C319BC9C0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0">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0"/>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NoList"/>
    <w:uiPriority w:val="99"/>
    <w:semiHidden/>
    <w:unhideWhenUsed/>
    <w:rsid w:val="00AB424B"/>
  </w:style>
  <w:style w:type="character" w:styleId="FollowedHyperlink">
    <w:name w:val="FollowedHyperlink"/>
    <w:basedOn w:val="DefaultParagraphFont"/>
    <w:uiPriority w:val="99"/>
    <w:semiHidden/>
    <w:unhideWhenUsed/>
    <w:rsid w:val="00AB424B"/>
    <w:rPr>
      <w:color w:val="954F72"/>
      <w:u w:val="single"/>
    </w:rPr>
  </w:style>
  <w:style w:type="paragraph" w:customStyle="1" w:styleId="msonormal0">
    <w:name w:val="msonormal"/>
    <w:basedOn w:val="Normal"/>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ridTable7Colorful-Accent3">
    <w:name w:val="Grid Table 7 Colorful Accent 3"/>
    <w:basedOn w:val="TableNormal"/>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customStyle="1" w:styleId="B1">
    <w:name w:val="B1+"/>
    <w:basedOn w:val="B10"/>
    <w:rsid w:val="00EE740A"/>
    <w:pPr>
      <w:numPr>
        <w:numId w:val="39"/>
      </w:numPr>
      <w:overflowPunct w:val="0"/>
      <w:autoSpaceDE w:val="0"/>
      <w:autoSpaceDN w:val="0"/>
      <w:adjustRightInd w:val="0"/>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6F22A-9DB7-4B3F-B59F-E7D244FA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5</cp:revision>
  <cp:lastPrinted>2018-08-10T06:24:00Z</cp:lastPrinted>
  <dcterms:created xsi:type="dcterms:W3CDTF">2019-08-14T10:04:00Z</dcterms:created>
  <dcterms:modified xsi:type="dcterms:W3CDTF">2019-08-16T10:16:00Z</dcterms:modified>
  <cp:category/>
</cp:coreProperties>
</file>